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D109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附件2：</w:t>
      </w:r>
    </w:p>
    <w:p w14:paraId="12A1B2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总部企业复核填报指南</w:t>
      </w:r>
    </w:p>
    <w:p w14:paraId="3062EB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FE485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一、复核对象</w:t>
      </w:r>
    </w:p>
    <w:p w14:paraId="3295DA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2025年（含）前已认定的市级、区级总部企业。</w:t>
      </w:r>
    </w:p>
    <w:p w14:paraId="544086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二、复核要求</w:t>
      </w:r>
    </w:p>
    <w:p w14:paraId="6D5083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（一）《2026年总部企业复核信息情况表》填报说明</w:t>
      </w:r>
    </w:p>
    <w:p w14:paraId="775083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1.表格第一行填写总部情况，第二行开始填写子公司、分公司等分支机构情况（姑苏区内、区外分支机构均需填写）。</w:t>
      </w:r>
    </w:p>
    <w:p w14:paraId="4E2171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主营业务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按营业执照填写，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注册地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的填写具体到某市某区。</w:t>
      </w:r>
    </w:p>
    <w:p w14:paraId="3ED534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总部企业控股比例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只需分支机构填写，指总部对该分支机构的控股百分比，股权关系以2025年12月31日股权登记状况为准。</w:t>
      </w:r>
    </w:p>
    <w:p w14:paraId="700DDB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spacing w:val="-4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新增总部办公面积情况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仅填写总部办公用房，</w:t>
      </w:r>
      <w:r>
        <w:rPr>
          <w:rFonts w:hint="eastAsia" w:ascii="Times New Roman" w:hAnsi="Times New Roman" w:eastAsia="仿宋_GB2312" w:cs="Times New Roman"/>
          <w:spacing w:val="-4"/>
          <w:kern w:val="2"/>
          <w:sz w:val="32"/>
          <w:szCs w:val="32"/>
          <w:lang w:val="en-US" w:eastAsia="zh-CN" w:bidi="ar"/>
        </w:rPr>
        <w:t>租赁、购买或自建均可，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不含分支机构用房，不含</w:t>
      </w:r>
      <w:r>
        <w:rPr>
          <w:rFonts w:hint="eastAsia" w:ascii="Times New Roman" w:hAnsi="Times New Roman" w:eastAsia="仿宋_GB2312" w:cs="Times New Roman"/>
          <w:spacing w:val="-4"/>
          <w:kern w:val="2"/>
          <w:sz w:val="32"/>
          <w:szCs w:val="32"/>
          <w:lang w:val="en-US" w:eastAsia="zh-CN" w:bidi="ar"/>
        </w:rPr>
        <w:t>商业经营用房、闲置房屋等未用于实际办公用途的面积，如有新增直播间、仓库等非完全办公场地，请注明面积大小。</w:t>
      </w:r>
    </w:p>
    <w:p w14:paraId="1DB7CD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新增产业投资情况</w:t>
      </w:r>
      <w:r>
        <w:rPr>
          <w:rFonts w:hint="eastAsia" w:ascii="Times New Roman" w:hAnsi="Times New Roman" w:eastAsia="仿宋_GB2312" w:cs="Times New Roman"/>
          <w:spacing w:val="-4"/>
          <w:kern w:val="2"/>
          <w:sz w:val="32"/>
          <w:szCs w:val="32"/>
          <w:lang w:val="en-US" w:eastAsia="zh-CN" w:bidi="ar"/>
        </w:rPr>
        <w:t>指存量总部企业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2025年</w:t>
      </w:r>
      <w:r>
        <w:rPr>
          <w:rFonts w:hint="eastAsia" w:ascii="Times New Roman" w:hAnsi="Times New Roman" w:eastAsia="仿宋_GB2312" w:cs="Times New Roman"/>
          <w:spacing w:val="-4"/>
          <w:kern w:val="2"/>
          <w:sz w:val="32"/>
          <w:szCs w:val="32"/>
          <w:lang w:val="en-US" w:eastAsia="zh-CN" w:bidi="ar"/>
        </w:rPr>
        <w:t>在我区新增的产业投资，包括购买土地、购买或租赁业务设备等（新增办公用房因另有补助，不计入本项新增产业投资），具体金额根据会计事务所出具的专项审计报告认定，以实际支付金额为准，不含日常办公经费、人员工资等日常支出。</w:t>
      </w:r>
    </w:p>
    <w:p w14:paraId="656733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（二）需提供的佐证材料</w:t>
      </w:r>
    </w:p>
    <w:p w14:paraId="093CDB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eastAsia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eastAsia="仿宋_GB2312"/>
          <w:kern w:val="0"/>
          <w:sz w:val="32"/>
          <w:szCs w:val="32"/>
          <w:lang w:val="en-US" w:eastAsia="zh-CN"/>
        </w:rPr>
        <w:t>如2025年有新增总部办公面积（第L列不为0），需相应提供2024年、2025年两年的租赁合同（或购房合同）及发票。</w:t>
      </w:r>
    </w:p>
    <w:p w14:paraId="5B4FF8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eastAsia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kern w:val="0"/>
          <w:sz w:val="32"/>
          <w:szCs w:val="32"/>
          <w:lang w:val="en-US" w:eastAsia="zh-CN"/>
        </w:rPr>
        <w:t>2.如2025年在姑苏区有新增产业投资（第</w:t>
      </w:r>
      <w:bookmarkStart w:id="0" w:name="_GoBack"/>
      <w:bookmarkEnd w:id="0"/>
      <w:r>
        <w:rPr>
          <w:rFonts w:hint="eastAsia" w:ascii="仿宋_GB2312" w:eastAsia="仿宋_GB2312"/>
          <w:kern w:val="0"/>
          <w:sz w:val="32"/>
          <w:szCs w:val="32"/>
          <w:lang w:val="en-US" w:eastAsia="zh-CN"/>
        </w:rPr>
        <w:t>M列不为0），需相应提供专项审计报告，否则不予认定。</w:t>
      </w:r>
    </w:p>
    <w:p w14:paraId="068A95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仿宋_GB2312" w:eastAsia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kern w:val="0"/>
          <w:sz w:val="32"/>
          <w:szCs w:val="32"/>
          <w:lang w:val="en-US" w:eastAsia="zh-CN"/>
        </w:rPr>
        <w:t>其他情况一般不需提供佐证材料（另有要求的除外），企业应对所填报数据的真实性负责。</w:t>
      </w:r>
    </w:p>
    <w:p w14:paraId="2D2E5D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三、相关规定</w:t>
      </w:r>
    </w:p>
    <w:p w14:paraId="46AF1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pacing w:val="-4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</w:t>
      </w:r>
      <w:r>
        <w:rPr>
          <w:rFonts w:hint="eastAsia" w:ascii="仿宋_GB2312" w:hAnsi="仿宋_GB2312" w:eastAsia="仿宋_GB2312" w:cs="仿宋_GB2312"/>
          <w:sz w:val="32"/>
          <w:szCs w:val="32"/>
        </w:rPr>
        <w:t>《保护区、姑苏区关于进一步推动经济高质量发展的若干政策意见》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苏名城保护办发〔2024〕119号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及相关细则规定，</w:t>
      </w:r>
      <w:r>
        <w:rPr>
          <w:rFonts w:hint="eastAsia" w:ascii="Times New Roman" w:hAnsi="Times New Roman" w:eastAsia="仿宋_GB2312" w:cs="Times New Roman"/>
          <w:spacing w:val="-4"/>
          <w:kern w:val="2"/>
          <w:sz w:val="32"/>
          <w:szCs w:val="32"/>
          <w:lang w:val="en-US" w:eastAsia="zh-CN" w:bidi="ar"/>
        </w:rPr>
        <w:t>经认定的总部企业应当认真履行企业应尽义务，积极配合政府部门履行调查、统计、财政资金绩效评价等法定义务。对已认定的总部企业，每年应当按要求报送本企业复核资料，进行年度复核。经复核合格的，继续享受总部企业鼓励政策。连续两年复核不合格的，或者因涉税及其他重大违法行为受到行政或刑事处罚的，取消其总部企业资格，停止享受相关鼓励政策。已享受奖励政策的，责令退回当年奖励所得。新设立总部企业被取消资格后，作为现有企业重新申请认定。</w:t>
      </w: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7D2362"/>
    <w:rsid w:val="142D49A7"/>
    <w:rsid w:val="1BA05993"/>
    <w:rsid w:val="1D9E1375"/>
    <w:rsid w:val="1FF726E8"/>
    <w:rsid w:val="24512A37"/>
    <w:rsid w:val="345179FF"/>
    <w:rsid w:val="37B3747C"/>
    <w:rsid w:val="3E845EA2"/>
    <w:rsid w:val="446A10BA"/>
    <w:rsid w:val="65FE0EE5"/>
    <w:rsid w:val="6DCE0221"/>
    <w:rsid w:val="778C41B1"/>
    <w:rsid w:val="793C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26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2025-05-22T03:28:00Z</dcterms:created>
  <dc:creator>Administrator</dc:creator>
  <cp:lastModifiedBy>1</cp:lastModifiedBy>
  <cp:lastPrinted>2026-04-10T07:45:00Z</cp:lastPrinted>
  <dcterms:modified xsi:type="dcterms:W3CDTF">2026-04-13T03:08:00Z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4DC68F434D464F6E9BC4C858FE54FFC5_12</vt:lpwstr>
  </property>
</Properties>
</file>